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9D" w:rsidRPr="002A1A0D" w:rsidRDefault="00111A9D" w:rsidP="00C13AAB">
      <w:pPr>
        <w:pStyle w:val="Title"/>
        <w:spacing w:line="360" w:lineRule="auto"/>
        <w:rPr>
          <w:rFonts w:ascii="Arial" w:hAnsi="Arial" w:cs="Arial"/>
          <w:b/>
          <w:sz w:val="28"/>
          <w:szCs w:val="28"/>
        </w:rPr>
      </w:pPr>
      <w:r w:rsidRPr="002A1A0D">
        <w:rPr>
          <w:rFonts w:ascii="Arial" w:hAnsi="Arial" w:cs="Arial"/>
          <w:b/>
          <w:sz w:val="28"/>
          <w:szCs w:val="28"/>
        </w:rPr>
        <w:t>Our Lady of Lourdes Catholic High School</w:t>
      </w:r>
    </w:p>
    <w:p w:rsidR="00111A9D" w:rsidRPr="002A1A0D" w:rsidRDefault="00111A9D" w:rsidP="00C13AAB">
      <w:pPr>
        <w:pStyle w:val="Subtitle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A1A0D">
        <w:rPr>
          <w:rFonts w:ascii="Arial" w:hAnsi="Arial" w:cs="Arial"/>
          <w:b/>
          <w:sz w:val="28"/>
          <w:szCs w:val="28"/>
          <w:u w:val="single"/>
        </w:rPr>
        <w:t>Course Overview</w:t>
      </w:r>
    </w:p>
    <w:p w:rsidR="002A1A0D" w:rsidRDefault="002A1A0D" w:rsidP="002A1A0D">
      <w:pPr>
        <w:spacing w:line="360" w:lineRule="auto"/>
        <w:rPr>
          <w:rFonts w:ascii="Arial" w:hAnsi="Arial" w:cs="Arial"/>
          <w:b/>
        </w:rPr>
      </w:pPr>
    </w:p>
    <w:p w:rsidR="00111A9D" w:rsidRPr="003E6BBF" w:rsidRDefault="00111A9D" w:rsidP="002A1A0D">
      <w:pPr>
        <w:spacing w:line="360" w:lineRule="auto"/>
        <w:rPr>
          <w:rFonts w:ascii="Arial" w:hAnsi="Arial" w:cs="Arial"/>
        </w:rPr>
      </w:pPr>
      <w:r w:rsidRPr="003E6BBF">
        <w:rPr>
          <w:rFonts w:ascii="Arial" w:hAnsi="Arial" w:cs="Arial"/>
          <w:b/>
        </w:rPr>
        <w:t>COURSE TITLE:</w:t>
      </w:r>
      <w:r w:rsidRPr="003E6BBF">
        <w:rPr>
          <w:rFonts w:ascii="Arial" w:hAnsi="Arial" w:cs="Arial"/>
        </w:rPr>
        <w:t xml:space="preserve"> </w:t>
      </w:r>
      <w:r w:rsidRPr="003E6BBF">
        <w:rPr>
          <w:rFonts w:ascii="Arial" w:hAnsi="Arial" w:cs="Arial"/>
        </w:rPr>
        <w:tab/>
      </w:r>
      <w:r w:rsidR="001C065F">
        <w:rPr>
          <w:rFonts w:ascii="Arial" w:hAnsi="Arial" w:cs="Arial"/>
        </w:rPr>
        <w:t>Foundations for College Mathematics</w:t>
      </w:r>
    </w:p>
    <w:p w:rsidR="00111A9D" w:rsidRPr="003E6BBF" w:rsidRDefault="00111A9D" w:rsidP="00C13AAB">
      <w:pPr>
        <w:spacing w:line="360" w:lineRule="auto"/>
        <w:rPr>
          <w:rFonts w:ascii="Arial" w:hAnsi="Arial" w:cs="Arial"/>
        </w:rPr>
      </w:pPr>
      <w:r w:rsidRPr="003E6BBF">
        <w:rPr>
          <w:rFonts w:ascii="Arial" w:hAnsi="Arial" w:cs="Arial"/>
          <w:b/>
        </w:rPr>
        <w:t>COURSE CODE</w:t>
      </w:r>
      <w:r w:rsidRPr="003E6BBF">
        <w:rPr>
          <w:rFonts w:ascii="Arial" w:hAnsi="Arial" w:cs="Arial"/>
        </w:rPr>
        <w:t xml:space="preserve">: </w:t>
      </w:r>
      <w:r w:rsidRPr="003E6BBF">
        <w:rPr>
          <w:rFonts w:ascii="Arial" w:hAnsi="Arial" w:cs="Arial"/>
        </w:rPr>
        <w:tab/>
      </w:r>
      <w:r w:rsidR="001C065F">
        <w:rPr>
          <w:rFonts w:ascii="Arial" w:hAnsi="Arial" w:cs="Arial"/>
        </w:rPr>
        <w:t>MBF</w:t>
      </w:r>
      <w:r w:rsidR="0007383B">
        <w:rPr>
          <w:rFonts w:ascii="Arial" w:hAnsi="Arial" w:cs="Arial"/>
        </w:rPr>
        <w:t>3U</w:t>
      </w:r>
    </w:p>
    <w:p w:rsidR="00111A9D" w:rsidRPr="003E6BBF" w:rsidRDefault="00111A9D" w:rsidP="00C13AAB">
      <w:pPr>
        <w:spacing w:line="360" w:lineRule="auto"/>
        <w:rPr>
          <w:rFonts w:ascii="Arial" w:hAnsi="Arial" w:cs="Arial"/>
        </w:rPr>
      </w:pPr>
      <w:r w:rsidRPr="003E6BBF">
        <w:rPr>
          <w:rFonts w:ascii="Arial" w:hAnsi="Arial" w:cs="Arial"/>
          <w:b/>
        </w:rPr>
        <w:t>CREDIT VALUE</w:t>
      </w:r>
      <w:r w:rsidRPr="003E6BBF">
        <w:rPr>
          <w:rFonts w:ascii="Arial" w:hAnsi="Arial" w:cs="Arial"/>
        </w:rPr>
        <w:t xml:space="preserve">: </w:t>
      </w:r>
      <w:r w:rsidRPr="003E6BBF">
        <w:rPr>
          <w:rFonts w:ascii="Arial" w:hAnsi="Arial" w:cs="Arial"/>
        </w:rPr>
        <w:tab/>
        <w:t>1.0</w:t>
      </w:r>
    </w:p>
    <w:p w:rsidR="00111A9D" w:rsidRPr="003E6BBF" w:rsidRDefault="00111A9D" w:rsidP="00C13AAB">
      <w:pPr>
        <w:spacing w:line="360" w:lineRule="auto"/>
        <w:rPr>
          <w:rFonts w:ascii="Arial" w:hAnsi="Arial" w:cs="Arial"/>
        </w:rPr>
      </w:pPr>
      <w:r w:rsidRPr="003E6BBF">
        <w:rPr>
          <w:rFonts w:ascii="Arial" w:hAnsi="Arial" w:cs="Arial"/>
          <w:b/>
        </w:rPr>
        <w:t>SCHOOL YEAR:</w:t>
      </w:r>
      <w:r w:rsidR="00C13AAB" w:rsidRPr="003E6BBF">
        <w:rPr>
          <w:rFonts w:ascii="Arial" w:hAnsi="Arial" w:cs="Arial"/>
        </w:rPr>
        <w:t xml:space="preserve"> </w:t>
      </w:r>
      <w:r w:rsidR="00C13AAB" w:rsidRPr="003E6BBF">
        <w:rPr>
          <w:rFonts w:ascii="Arial" w:hAnsi="Arial" w:cs="Arial"/>
        </w:rPr>
        <w:tab/>
      </w:r>
      <w:r w:rsidR="00FF1B0F">
        <w:rPr>
          <w:rFonts w:ascii="Arial" w:hAnsi="Arial" w:cs="Arial"/>
        </w:rPr>
        <w:t>2013</w:t>
      </w:r>
      <w:bookmarkStart w:id="0" w:name="_GoBack"/>
      <w:bookmarkEnd w:id="0"/>
      <w:r w:rsidR="00C13AAB" w:rsidRPr="003E6BBF">
        <w:rPr>
          <w:rFonts w:ascii="Arial" w:hAnsi="Arial" w:cs="Arial"/>
        </w:rPr>
        <w:tab/>
        <w:t xml:space="preserve">Semester </w:t>
      </w:r>
      <w:r w:rsidR="00FF1B0F">
        <w:rPr>
          <w:rFonts w:ascii="Arial" w:hAnsi="Arial" w:cs="Arial"/>
        </w:rPr>
        <w:t>2</w:t>
      </w:r>
    </w:p>
    <w:p w:rsidR="00111A9D" w:rsidRPr="003E6BBF" w:rsidRDefault="000B0AF7" w:rsidP="00C13AAB">
      <w:pPr>
        <w:spacing w:line="360" w:lineRule="auto"/>
        <w:rPr>
          <w:rFonts w:ascii="Arial" w:hAnsi="Arial" w:cs="Arial"/>
        </w:rPr>
      </w:pPr>
      <w:r w:rsidRPr="003E6BBF">
        <w:rPr>
          <w:rFonts w:ascii="Arial" w:hAnsi="Arial" w:cs="Arial"/>
          <w:b/>
        </w:rPr>
        <w:t>TEACHER</w:t>
      </w:r>
      <w:r w:rsidR="00111A9D" w:rsidRPr="003E6BBF">
        <w:rPr>
          <w:rFonts w:ascii="Arial" w:hAnsi="Arial" w:cs="Arial"/>
          <w:b/>
        </w:rPr>
        <w:t>:</w:t>
      </w:r>
      <w:r w:rsidR="00001971" w:rsidRPr="003E6BBF">
        <w:rPr>
          <w:rFonts w:ascii="Arial" w:hAnsi="Arial" w:cs="Arial"/>
        </w:rPr>
        <w:tab/>
      </w:r>
      <w:r w:rsidR="00001971" w:rsidRPr="003E6BBF">
        <w:rPr>
          <w:rFonts w:ascii="Arial" w:hAnsi="Arial" w:cs="Arial"/>
        </w:rPr>
        <w:tab/>
      </w:r>
      <w:r w:rsidR="00C13AAB" w:rsidRPr="003E6BBF">
        <w:rPr>
          <w:rFonts w:ascii="Arial" w:hAnsi="Arial" w:cs="Arial"/>
        </w:rPr>
        <w:t>Ms. T. McKay</w:t>
      </w:r>
    </w:p>
    <w:p w:rsidR="00111A9D" w:rsidRPr="003E6BBF" w:rsidRDefault="00111A9D">
      <w:pPr>
        <w:rPr>
          <w:rFonts w:ascii="Arial" w:hAnsi="Arial" w:cs="Arial"/>
        </w:rPr>
      </w:pPr>
    </w:p>
    <w:p w:rsidR="00111A9D" w:rsidRPr="003E6BBF" w:rsidRDefault="00111A9D" w:rsidP="002A1A0D">
      <w:pPr>
        <w:spacing w:line="360" w:lineRule="auto"/>
        <w:rPr>
          <w:rFonts w:ascii="Arial" w:hAnsi="Arial" w:cs="Arial"/>
        </w:rPr>
      </w:pPr>
      <w:r w:rsidRPr="003E6BBF">
        <w:rPr>
          <w:rFonts w:ascii="Arial" w:hAnsi="Arial" w:cs="Arial"/>
          <w:b/>
        </w:rPr>
        <w:t>COURSE DESCRIPTION</w:t>
      </w:r>
      <w:r w:rsidRPr="003E6BBF">
        <w:rPr>
          <w:rFonts w:ascii="Arial" w:hAnsi="Arial" w:cs="Arial"/>
        </w:rPr>
        <w:t>:</w:t>
      </w:r>
    </w:p>
    <w:p w:rsidR="001C065F" w:rsidRPr="001C065F" w:rsidRDefault="001C065F" w:rsidP="001C065F">
      <w:pPr>
        <w:rPr>
          <w:rFonts w:ascii="Arial" w:hAnsi="Arial" w:cs="Arial"/>
        </w:rPr>
      </w:pPr>
      <w:r w:rsidRPr="001C065F">
        <w:rPr>
          <w:rFonts w:ascii="Arial" w:hAnsi="Arial" w:cs="Arial"/>
        </w:rPr>
        <w:t>This course enables students to broaden their understanding of mathematics as a problem-solving tool in the real world.  Students will extend their understanding of quadratic relations; investigate situations involving exponential growth; solve problems involving compound interest; solve financial problems connected with vehicle ownership; develop their ability to reason by collecting, analyzing and evaluating data involving one variable; connect probability to statistics; and solve problems in geometry and trigonometry.  Students will consolidate their mathematical thinking skills as they solve problems and communicate their thinking.</w:t>
      </w:r>
    </w:p>
    <w:p w:rsidR="009E642B" w:rsidRPr="001C065F" w:rsidRDefault="009E642B" w:rsidP="009E642B">
      <w:pPr>
        <w:autoSpaceDE w:val="0"/>
        <w:autoSpaceDN w:val="0"/>
        <w:adjustRightInd w:val="0"/>
        <w:rPr>
          <w:rFonts w:ascii="Arial" w:hAnsi="Arial" w:cs="Arial"/>
        </w:rPr>
      </w:pPr>
    </w:p>
    <w:p w:rsidR="00111A9D" w:rsidRPr="001C065F" w:rsidRDefault="00111A9D" w:rsidP="002A1A0D">
      <w:pPr>
        <w:pStyle w:val="BodyText"/>
        <w:keepLines/>
        <w:spacing w:line="360" w:lineRule="auto"/>
        <w:rPr>
          <w:rFonts w:ascii="Arial" w:hAnsi="Arial" w:cs="Arial"/>
          <w:sz w:val="20"/>
        </w:rPr>
      </w:pPr>
      <w:r w:rsidRPr="001C065F">
        <w:rPr>
          <w:rFonts w:ascii="Arial" w:hAnsi="Arial" w:cs="Arial"/>
          <w:b/>
          <w:sz w:val="20"/>
        </w:rPr>
        <w:t>HOW THIS COURSE SUPPORTS THE ONTARIO CATHOLIC GRADUATE EXPECTATIONS</w:t>
      </w:r>
      <w:r w:rsidRPr="001C065F">
        <w:rPr>
          <w:rFonts w:ascii="Arial" w:hAnsi="Arial" w:cs="Arial"/>
          <w:sz w:val="20"/>
        </w:rPr>
        <w:t>:</w:t>
      </w:r>
    </w:p>
    <w:p w:rsidR="001C065F" w:rsidRPr="001C065F" w:rsidRDefault="001C065F" w:rsidP="001C065F">
      <w:pPr>
        <w:pStyle w:val="BodyText"/>
        <w:keepLines/>
        <w:rPr>
          <w:rFonts w:ascii="Arial" w:hAnsi="Arial" w:cs="Arial"/>
          <w:sz w:val="20"/>
        </w:rPr>
      </w:pPr>
      <w:r w:rsidRPr="001C065F">
        <w:rPr>
          <w:rFonts w:ascii="Arial" w:hAnsi="Arial" w:cs="Arial"/>
          <w:sz w:val="20"/>
          <w:lang w:val="en-GB"/>
        </w:rPr>
        <w:t xml:space="preserve">This course encourages the Catholic learner to develop his/her God-given gifts and abilities to promote growth toward personal responsibility in preparation for a chosen career path. Throughout this course, emphasis should be placed on moral, ethical, and realistic decision-making in an effort to build responsible citizenship.  The classroom environment should </w:t>
      </w:r>
      <w:proofErr w:type="spellStart"/>
      <w:r w:rsidRPr="001C065F">
        <w:rPr>
          <w:rFonts w:ascii="Arial" w:hAnsi="Arial" w:cs="Arial"/>
          <w:sz w:val="20"/>
          <w:lang w:val="en-GB"/>
        </w:rPr>
        <w:t>instill</w:t>
      </w:r>
      <w:proofErr w:type="spellEnd"/>
      <w:r w:rsidRPr="001C065F">
        <w:rPr>
          <w:rFonts w:ascii="Arial" w:hAnsi="Arial" w:cs="Arial"/>
          <w:sz w:val="20"/>
          <w:lang w:val="en-GB"/>
        </w:rPr>
        <w:t xml:space="preserve"> a spirit of cooperation, rather than competition amongst students, and foster a collaborative sense of community.  This course provides many opportunities for students to work effectively as interdependent team members and to acknowledge and respect others for their opinions.  </w:t>
      </w:r>
      <w:r w:rsidRPr="001C065F">
        <w:rPr>
          <w:rFonts w:ascii="Arial" w:hAnsi="Arial" w:cs="Arial"/>
          <w:sz w:val="20"/>
        </w:rPr>
        <w:t>Please see the Course Calendar / Agenda Book for a listing of the Ontario Catholic Graduate Expectations.</w:t>
      </w:r>
    </w:p>
    <w:p w:rsidR="00111A9D" w:rsidRPr="003E6BBF" w:rsidRDefault="00111A9D">
      <w:pPr>
        <w:rPr>
          <w:rFonts w:ascii="Arial" w:hAnsi="Arial" w:cs="Arial"/>
        </w:rPr>
      </w:pPr>
    </w:p>
    <w:p w:rsidR="00B9696E" w:rsidRPr="00813C0C" w:rsidRDefault="00B9696E" w:rsidP="00B969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b/>
          <w:bCs/>
        </w:rPr>
      </w:pPr>
      <w:r w:rsidRPr="00813C0C">
        <w:rPr>
          <w:rFonts w:ascii="Arial" w:hAnsi="Arial" w:cs="Arial"/>
          <w:b/>
          <w:bCs/>
        </w:rPr>
        <w:t>OVERALL EXPECTATIONS:</w:t>
      </w:r>
    </w:p>
    <w:p w:rsidR="001C065F" w:rsidRPr="001C065F" w:rsidRDefault="001C065F" w:rsidP="001C065F">
      <w:pPr>
        <w:pStyle w:val="Default"/>
        <w:rPr>
          <w:sz w:val="20"/>
          <w:szCs w:val="20"/>
        </w:rPr>
      </w:pPr>
      <w:r w:rsidRPr="001C065F">
        <w:rPr>
          <w:b/>
          <w:bCs/>
          <w:sz w:val="20"/>
          <w:szCs w:val="20"/>
        </w:rPr>
        <w:t xml:space="preserve">Ministry Web site </w:t>
      </w:r>
    </w:p>
    <w:p w:rsidR="001C065F" w:rsidRPr="007E7E2F" w:rsidRDefault="001C065F" w:rsidP="001C065F">
      <w:pPr>
        <w:pStyle w:val="Default"/>
        <w:rPr>
          <w:sz w:val="20"/>
          <w:szCs w:val="20"/>
        </w:rPr>
      </w:pPr>
      <w:r w:rsidRPr="007E7E2F">
        <w:rPr>
          <w:sz w:val="20"/>
          <w:szCs w:val="20"/>
        </w:rPr>
        <w:t xml:space="preserve">The overall course expectations can be found on the ministry website: </w:t>
      </w:r>
    </w:p>
    <w:p w:rsidR="001C065F" w:rsidRPr="007E7E2F" w:rsidRDefault="001C065F" w:rsidP="001C065F">
      <w:pPr>
        <w:pStyle w:val="Default"/>
        <w:rPr>
          <w:sz w:val="20"/>
          <w:szCs w:val="20"/>
        </w:rPr>
      </w:pPr>
      <w:r w:rsidRPr="007E7E2F">
        <w:rPr>
          <w:sz w:val="20"/>
          <w:szCs w:val="20"/>
        </w:rPr>
        <w:t xml:space="preserve">http://www.edu.gov.on.ca/eng/curriculum/secondary/science.html </w:t>
      </w:r>
    </w:p>
    <w:p w:rsidR="00B9696E" w:rsidRPr="00813C0C" w:rsidRDefault="00B9696E" w:rsidP="00B9696E">
      <w:pPr>
        <w:rPr>
          <w:rFonts w:ascii="Arial" w:hAnsi="Arial" w:cs="Arial"/>
        </w:rPr>
      </w:pPr>
    </w:p>
    <w:p w:rsidR="00111A9D" w:rsidRPr="009E642B" w:rsidRDefault="00111A9D">
      <w:pPr>
        <w:rPr>
          <w:rFonts w:ascii="Arial" w:hAnsi="Arial" w:cs="Arial"/>
          <w:lang w:val="en-CA"/>
        </w:rPr>
      </w:pPr>
    </w:p>
    <w:p w:rsidR="001C065F" w:rsidRPr="001C065F" w:rsidRDefault="001C065F" w:rsidP="001C065F">
      <w:pPr>
        <w:rPr>
          <w:rFonts w:ascii="Arial" w:hAnsi="Arial" w:cs="Arial"/>
          <w:b/>
          <w:bCs/>
        </w:rPr>
      </w:pPr>
      <w:r w:rsidRPr="001C065F">
        <w:rPr>
          <w:rFonts w:ascii="Arial" w:hAnsi="Arial" w:cs="Arial"/>
          <w:b/>
          <w:bCs/>
        </w:rPr>
        <w:t>UNIT TITLES</w:t>
      </w:r>
      <w:r w:rsidRPr="001C065F">
        <w:rPr>
          <w:rFonts w:ascii="Arial" w:hAnsi="Arial" w:cs="Arial"/>
          <w:b/>
        </w:rPr>
        <w:t>:</w:t>
      </w:r>
      <w:r w:rsidRPr="001C065F">
        <w:rPr>
          <w:rFonts w:ascii="Arial" w:hAnsi="Arial" w:cs="Arial"/>
          <w:b/>
          <w:bCs/>
        </w:rPr>
        <w:t xml:space="preserve"> (Sequence and Approximate Time) </w:t>
      </w:r>
    </w:p>
    <w:p w:rsidR="001C065F" w:rsidRPr="001C065F" w:rsidRDefault="001C065F" w:rsidP="001C065F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5064"/>
        <w:gridCol w:w="1440"/>
      </w:tblGrid>
      <w:tr w:rsidR="001C065F" w:rsidRPr="001C065F" w:rsidTr="00224CF7">
        <w:trPr>
          <w:jc w:val="center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C065F" w:rsidRPr="001C065F" w:rsidRDefault="00724844" w:rsidP="0022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Trigonometry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C065F" w:rsidRPr="001C065F" w:rsidRDefault="00724844" w:rsidP="0022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C065F" w:rsidRPr="001C065F">
              <w:rPr>
                <w:rFonts w:ascii="Arial" w:hAnsi="Arial" w:cs="Arial"/>
              </w:rPr>
              <w:t xml:space="preserve"> Periods</w:t>
            </w:r>
          </w:p>
        </w:tc>
      </w:tr>
      <w:tr w:rsidR="001C065F" w:rsidRPr="001C065F" w:rsidTr="00224CF7">
        <w:trPr>
          <w:jc w:val="center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C065F" w:rsidRPr="001C065F" w:rsidRDefault="00724844" w:rsidP="0022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Probability </w:t>
            </w:r>
            <w:r w:rsidR="001C065F" w:rsidRPr="001C06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C065F" w:rsidRPr="001C065F" w:rsidRDefault="00724844" w:rsidP="0022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C065F" w:rsidRPr="001C065F">
              <w:rPr>
                <w:rFonts w:ascii="Arial" w:hAnsi="Arial" w:cs="Arial"/>
              </w:rPr>
              <w:t xml:space="preserve"> Periods</w:t>
            </w:r>
          </w:p>
        </w:tc>
      </w:tr>
      <w:tr w:rsidR="001C065F" w:rsidRPr="001C065F" w:rsidTr="00224CF7">
        <w:trPr>
          <w:jc w:val="center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One Variable Statistics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12 Periods</w:t>
            </w:r>
          </w:p>
        </w:tc>
      </w:tr>
      <w:tr w:rsidR="001C065F" w:rsidRPr="001C065F" w:rsidTr="00224CF7">
        <w:trPr>
          <w:jc w:val="center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Quadratic Relations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9 Periods</w:t>
            </w:r>
          </w:p>
        </w:tc>
      </w:tr>
      <w:tr w:rsidR="001C065F" w:rsidRPr="001C065F" w:rsidTr="00224CF7">
        <w:trPr>
          <w:jc w:val="center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Exponents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9 Periods</w:t>
            </w:r>
          </w:p>
        </w:tc>
      </w:tr>
      <w:tr w:rsidR="001C065F" w:rsidRPr="001C065F" w:rsidTr="00224CF7">
        <w:trPr>
          <w:jc w:val="center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Compound Interest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7 Periods</w:t>
            </w:r>
          </w:p>
        </w:tc>
      </w:tr>
      <w:tr w:rsidR="001C065F" w:rsidRPr="001C065F" w:rsidTr="00224CF7">
        <w:trPr>
          <w:jc w:val="center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Personal Finance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11 Periods</w:t>
            </w:r>
          </w:p>
        </w:tc>
      </w:tr>
      <w:tr w:rsidR="001C065F" w:rsidRPr="001C065F" w:rsidTr="00224CF7">
        <w:trPr>
          <w:jc w:val="center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Geometry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C065F" w:rsidRPr="001C065F" w:rsidRDefault="001C065F" w:rsidP="00224CF7">
            <w:pP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5 Periods</w:t>
            </w:r>
          </w:p>
        </w:tc>
      </w:tr>
      <w:tr w:rsidR="001C065F" w:rsidRPr="001C065F" w:rsidTr="00224CF7">
        <w:trPr>
          <w:jc w:val="center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1C065F" w:rsidRPr="001C065F" w:rsidRDefault="001C065F" w:rsidP="00224CF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Course Review and Summative Culminating Activity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5F" w:rsidRPr="001C065F" w:rsidRDefault="001C065F" w:rsidP="00224CF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C065F">
              <w:rPr>
                <w:rFonts w:ascii="Arial" w:hAnsi="Arial" w:cs="Arial"/>
              </w:rPr>
              <w:t>10 Periods</w:t>
            </w:r>
          </w:p>
        </w:tc>
      </w:tr>
    </w:tbl>
    <w:p w:rsidR="00B9696E" w:rsidRPr="001C065F" w:rsidRDefault="00B9696E" w:rsidP="003E6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</w:rPr>
      </w:pPr>
    </w:p>
    <w:p w:rsidR="003E6BBF" w:rsidRPr="00BF74CB" w:rsidRDefault="003E6BBF" w:rsidP="003E6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BF74CB">
        <w:rPr>
          <w:rFonts w:ascii="Arial" w:hAnsi="Arial" w:cs="Arial"/>
          <w:b/>
          <w:bCs/>
        </w:rPr>
        <w:t>EVALUATION</w:t>
      </w:r>
      <w:r w:rsidRPr="00BF74CB">
        <w:rPr>
          <w:rFonts w:ascii="Arial" w:hAnsi="Arial" w:cs="Arial"/>
        </w:rPr>
        <w:t>:</w:t>
      </w:r>
    </w:p>
    <w:p w:rsidR="003E6BBF" w:rsidRPr="00BF74CB" w:rsidRDefault="003E6BBF" w:rsidP="003E6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BF74CB">
        <w:rPr>
          <w:rFonts w:ascii="Arial" w:hAnsi="Arial" w:cs="Arial"/>
        </w:rPr>
        <w:t>Evaluation is based on overall expectations of the course.  These can be found at http:www.edu.gov.on.ca/eng/curriculum/secondary/subjects.html</w:t>
      </w:r>
    </w:p>
    <w:p w:rsidR="003E6BBF" w:rsidRPr="00BF74CB" w:rsidRDefault="003E6BBF" w:rsidP="003E6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tbl>
      <w:tblPr>
        <w:tblW w:w="0" w:type="auto"/>
        <w:tblInd w:w="10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4410"/>
      </w:tblGrid>
      <w:tr w:rsidR="003E6BBF" w:rsidRPr="00BF74CB" w:rsidTr="00C54B1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6BBF" w:rsidRPr="00BF74CB" w:rsidRDefault="003E6BBF" w:rsidP="00C54B11">
            <w:pPr>
              <w:spacing w:line="120" w:lineRule="exact"/>
              <w:rPr>
                <w:rFonts w:ascii="Arial" w:hAnsi="Arial" w:cs="Arial"/>
              </w:rPr>
            </w:pPr>
          </w:p>
          <w:p w:rsidR="003E6BBF" w:rsidRPr="00BF74CB" w:rsidRDefault="003E6BBF" w:rsidP="00C54B11">
            <w:pPr>
              <w:tabs>
                <w:tab w:val="left" w:pos="0"/>
                <w:tab w:val="left" w:pos="420"/>
                <w:tab w:val="left" w:pos="1440"/>
              </w:tabs>
              <w:rPr>
                <w:rFonts w:ascii="Arial" w:hAnsi="Arial" w:cs="Arial"/>
              </w:rPr>
            </w:pPr>
            <w:r w:rsidRPr="00BF74CB">
              <w:rPr>
                <w:rFonts w:ascii="Arial" w:hAnsi="Arial" w:cs="Arial"/>
                <w:b/>
                <w:bCs/>
              </w:rPr>
              <w:t>COURSE GRADE WEIGHTING:</w:t>
            </w:r>
            <w:r w:rsidRPr="00BF74CB">
              <w:rPr>
                <w:rFonts w:ascii="Arial" w:hAnsi="Arial" w:cs="Arial"/>
              </w:rPr>
              <w:tab/>
            </w:r>
          </w:p>
          <w:p w:rsidR="003E6BBF" w:rsidRPr="00BF74CB" w:rsidRDefault="003E6BBF" w:rsidP="00C54B11">
            <w:pPr>
              <w:tabs>
                <w:tab w:val="left" w:pos="0"/>
                <w:tab w:val="left" w:pos="420"/>
                <w:tab w:val="left" w:pos="1440"/>
              </w:tabs>
              <w:ind w:firstLine="420"/>
              <w:rPr>
                <w:rFonts w:ascii="Arial" w:hAnsi="Arial" w:cs="Arial"/>
              </w:rPr>
            </w:pPr>
            <w:r w:rsidRPr="00BF74CB">
              <w:rPr>
                <w:rFonts w:ascii="Arial" w:hAnsi="Arial" w:cs="Arial"/>
              </w:rPr>
              <w:t>Term Work</w:t>
            </w:r>
            <w:r w:rsidRPr="00BF74CB">
              <w:rPr>
                <w:rFonts w:ascii="Arial" w:hAnsi="Arial" w:cs="Arial"/>
              </w:rPr>
              <w:tab/>
            </w:r>
            <w:r w:rsidRPr="00BF74CB">
              <w:rPr>
                <w:rFonts w:ascii="Arial" w:hAnsi="Arial" w:cs="Arial"/>
              </w:rPr>
              <w:tab/>
              <w:t>70%</w:t>
            </w:r>
          </w:p>
          <w:p w:rsidR="003E6BBF" w:rsidRPr="00BF74CB" w:rsidRDefault="003E6BBF" w:rsidP="00C54B11">
            <w:pPr>
              <w:tabs>
                <w:tab w:val="left" w:pos="0"/>
                <w:tab w:val="left" w:pos="420"/>
                <w:tab w:val="left" w:pos="1440"/>
              </w:tabs>
              <w:spacing w:after="58"/>
              <w:ind w:firstLine="420"/>
              <w:rPr>
                <w:rFonts w:ascii="Arial" w:hAnsi="Arial" w:cs="Arial"/>
              </w:rPr>
            </w:pPr>
            <w:r w:rsidRPr="00BF74CB">
              <w:rPr>
                <w:rFonts w:ascii="Arial" w:hAnsi="Arial" w:cs="Arial"/>
              </w:rPr>
              <w:t>Final Assessment</w:t>
            </w:r>
            <w:r w:rsidRPr="00BF74CB">
              <w:rPr>
                <w:rFonts w:ascii="Arial" w:hAnsi="Arial" w:cs="Arial"/>
              </w:rPr>
              <w:tab/>
              <w:t>30%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6BBF" w:rsidRPr="00BF74CB" w:rsidRDefault="003E6BBF" w:rsidP="00C54B11">
            <w:pPr>
              <w:spacing w:line="120" w:lineRule="exact"/>
              <w:rPr>
                <w:rFonts w:ascii="Arial" w:hAnsi="Arial" w:cs="Arial"/>
              </w:rPr>
            </w:pPr>
          </w:p>
          <w:p w:rsidR="003E6BBF" w:rsidRPr="00BF74CB" w:rsidRDefault="003E6BBF" w:rsidP="00C54B11">
            <w:pPr>
              <w:tabs>
                <w:tab w:val="left" w:pos="0"/>
                <w:tab w:val="left" w:pos="420"/>
                <w:tab w:val="left" w:pos="1440"/>
              </w:tabs>
              <w:rPr>
                <w:rFonts w:ascii="Arial" w:hAnsi="Arial" w:cs="Arial"/>
              </w:rPr>
            </w:pPr>
            <w:r w:rsidRPr="00BF74CB">
              <w:rPr>
                <w:rFonts w:ascii="Arial" w:hAnsi="Arial" w:cs="Arial"/>
                <w:b/>
                <w:bCs/>
              </w:rPr>
              <w:t>CATEGORY WEIGHTING:</w:t>
            </w:r>
          </w:p>
          <w:p w:rsidR="003E6BBF" w:rsidRPr="00BF74CB" w:rsidRDefault="003E6BBF" w:rsidP="00C54B11">
            <w:pPr>
              <w:tabs>
                <w:tab w:val="left" w:pos="0"/>
                <w:tab w:val="left" w:pos="420"/>
                <w:tab w:val="left" w:pos="1440"/>
              </w:tabs>
              <w:ind w:firstLine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</w:t>
            </w:r>
            <w:r>
              <w:rPr>
                <w:rFonts w:ascii="Arial" w:hAnsi="Arial" w:cs="Arial"/>
              </w:rPr>
              <w:tab/>
            </w:r>
            <w:r w:rsidR="001C065F">
              <w:rPr>
                <w:rFonts w:ascii="Arial" w:hAnsi="Arial" w:cs="Arial"/>
              </w:rPr>
              <w:t>4</w:t>
            </w:r>
            <w:r w:rsidRPr="00BF74CB">
              <w:rPr>
                <w:rFonts w:ascii="Arial" w:hAnsi="Arial" w:cs="Arial"/>
              </w:rPr>
              <w:t>0%</w:t>
            </w:r>
          </w:p>
          <w:p w:rsidR="003E6BBF" w:rsidRPr="00BF74CB" w:rsidRDefault="003E6BBF" w:rsidP="00C54B11">
            <w:pPr>
              <w:tabs>
                <w:tab w:val="left" w:pos="0"/>
                <w:tab w:val="left" w:pos="420"/>
                <w:tab w:val="left" w:pos="1440"/>
              </w:tabs>
              <w:ind w:firstLine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4</w:t>
            </w:r>
            <w:r w:rsidRPr="00BF74CB">
              <w:rPr>
                <w:rFonts w:ascii="Arial" w:hAnsi="Arial" w:cs="Arial"/>
              </w:rPr>
              <w:t>0%</w:t>
            </w:r>
          </w:p>
          <w:p w:rsidR="003E6BBF" w:rsidRPr="00BF74CB" w:rsidRDefault="001C065F" w:rsidP="00C54B11">
            <w:pPr>
              <w:tabs>
                <w:tab w:val="left" w:pos="0"/>
                <w:tab w:val="left" w:pos="420"/>
                <w:tab w:val="left" w:pos="1440"/>
              </w:tabs>
              <w:ind w:firstLine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Connections</w:t>
            </w:r>
            <w:r w:rsidR="003E6BBF">
              <w:rPr>
                <w:rFonts w:ascii="Arial" w:hAnsi="Arial" w:cs="Arial"/>
              </w:rPr>
              <w:tab/>
            </w:r>
            <w:r w:rsidR="003E6BB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</w:t>
            </w:r>
            <w:r w:rsidR="003E6BBF">
              <w:rPr>
                <w:rFonts w:ascii="Arial" w:hAnsi="Arial" w:cs="Arial"/>
              </w:rPr>
              <w:t>0</w:t>
            </w:r>
            <w:r w:rsidR="003E6BBF" w:rsidRPr="00BF74CB">
              <w:rPr>
                <w:rFonts w:ascii="Arial" w:hAnsi="Arial" w:cs="Arial"/>
              </w:rPr>
              <w:t>%</w:t>
            </w:r>
          </w:p>
          <w:p w:rsidR="003E6BBF" w:rsidRPr="00BF74CB" w:rsidRDefault="003E6BBF" w:rsidP="00C54B11">
            <w:pPr>
              <w:tabs>
                <w:tab w:val="left" w:pos="0"/>
                <w:tab w:val="left" w:pos="420"/>
                <w:tab w:val="left" w:pos="1440"/>
              </w:tabs>
              <w:spacing w:after="58"/>
              <w:ind w:firstLine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10</w:t>
            </w:r>
            <w:r w:rsidRPr="00BF74CB">
              <w:rPr>
                <w:rFonts w:ascii="Arial" w:hAnsi="Arial" w:cs="Arial"/>
              </w:rPr>
              <w:t>%</w:t>
            </w:r>
          </w:p>
        </w:tc>
      </w:tr>
    </w:tbl>
    <w:p w:rsidR="003E6BBF" w:rsidRPr="00BF74CB" w:rsidRDefault="003E6BBF" w:rsidP="003E6BBF">
      <w:pPr>
        <w:tabs>
          <w:tab w:val="left" w:pos="0"/>
          <w:tab w:val="left" w:pos="420"/>
          <w:tab w:val="left" w:pos="1440"/>
        </w:tabs>
        <w:rPr>
          <w:rFonts w:ascii="Arial" w:hAnsi="Arial" w:cs="Arial"/>
        </w:rPr>
      </w:pPr>
    </w:p>
    <w:p w:rsidR="003E6BBF" w:rsidRPr="00E41DF7" w:rsidRDefault="003E6BBF" w:rsidP="003E6BBF">
      <w:pPr>
        <w:tabs>
          <w:tab w:val="left" w:pos="0"/>
          <w:tab w:val="left" w:pos="420"/>
          <w:tab w:val="left" w:pos="1440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BF74CB">
        <w:rPr>
          <w:rFonts w:ascii="Arial" w:hAnsi="Arial" w:cs="Arial"/>
        </w:rPr>
        <w:t xml:space="preserve">Students will be assessed using a variety of techniques including: </w:t>
      </w:r>
      <w:r w:rsidR="001C065F">
        <w:rPr>
          <w:rFonts w:ascii="Arial" w:hAnsi="Arial" w:cs="Arial"/>
        </w:rPr>
        <w:t xml:space="preserve">quizzes, </w:t>
      </w:r>
      <w:r w:rsidRPr="00BF74CB">
        <w:rPr>
          <w:rFonts w:ascii="Arial" w:hAnsi="Arial" w:cs="Arial"/>
        </w:rPr>
        <w:t xml:space="preserve">unit tests, </w:t>
      </w:r>
      <w:r>
        <w:rPr>
          <w:rFonts w:ascii="Arial" w:hAnsi="Arial" w:cs="Arial"/>
        </w:rPr>
        <w:t>performance tasks, assignments</w:t>
      </w:r>
      <w:proofErr w:type="gramStart"/>
      <w:r>
        <w:rPr>
          <w:rFonts w:ascii="Arial" w:hAnsi="Arial" w:cs="Arial"/>
        </w:rPr>
        <w:t xml:space="preserve">,  </w:t>
      </w:r>
      <w:r w:rsidRPr="00E41DF7">
        <w:rPr>
          <w:rFonts w:ascii="Arial" w:hAnsi="Arial" w:cs="Arial"/>
        </w:rPr>
        <w:t>culminating</w:t>
      </w:r>
      <w:proofErr w:type="gramEnd"/>
      <w:r w:rsidRPr="00E41DF7">
        <w:rPr>
          <w:rFonts w:ascii="Arial" w:hAnsi="Arial" w:cs="Arial"/>
        </w:rPr>
        <w:t xml:space="preserve"> activities and a formal final exam.</w:t>
      </w:r>
    </w:p>
    <w:p w:rsidR="003E6BBF" w:rsidRPr="00E41DF7" w:rsidRDefault="003E6BBF" w:rsidP="003E6BBF">
      <w:pPr>
        <w:tabs>
          <w:tab w:val="left" w:pos="0"/>
          <w:tab w:val="left" w:pos="420"/>
          <w:tab w:val="left" w:pos="1440"/>
        </w:tabs>
        <w:ind w:left="420" w:hanging="420"/>
        <w:rPr>
          <w:rFonts w:ascii="Arial" w:hAnsi="Arial" w:cs="Arial"/>
        </w:rPr>
      </w:pPr>
    </w:p>
    <w:p w:rsidR="003E6BBF" w:rsidRPr="00E41DF7" w:rsidRDefault="003E6BBF" w:rsidP="003E6BBF">
      <w:pPr>
        <w:tabs>
          <w:tab w:val="left" w:pos="0"/>
          <w:tab w:val="left" w:pos="420"/>
          <w:tab w:val="left" w:pos="1440"/>
        </w:tabs>
        <w:ind w:left="420" w:hanging="420"/>
        <w:rPr>
          <w:rFonts w:ascii="Arial" w:hAnsi="Arial" w:cs="Arial"/>
          <w:b/>
        </w:rPr>
      </w:pPr>
      <w:r w:rsidRPr="00E41DF7">
        <w:rPr>
          <w:rFonts w:ascii="Arial" w:hAnsi="Arial" w:cs="Arial"/>
          <w:b/>
        </w:rPr>
        <w:t>*Students are encouraged to keep track of their evaluations on the mark tracking sheet available online.</w:t>
      </w:r>
    </w:p>
    <w:p w:rsidR="00E41DF7" w:rsidRPr="00E41DF7" w:rsidRDefault="00E41DF7" w:rsidP="003E6BBF">
      <w:pPr>
        <w:tabs>
          <w:tab w:val="left" w:pos="2640"/>
        </w:tabs>
        <w:rPr>
          <w:rFonts w:ascii="Arial" w:hAnsi="Arial" w:cs="Arial"/>
        </w:rPr>
      </w:pPr>
    </w:p>
    <w:p w:rsidR="00E41DF7" w:rsidRPr="00E41DF7" w:rsidRDefault="00E41DF7" w:rsidP="00E41DF7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E41DF7">
        <w:rPr>
          <w:rFonts w:ascii="Arial" w:hAnsi="Arial" w:cs="Arial"/>
          <w:b/>
          <w:bCs/>
        </w:rPr>
        <w:t>LATE/MISSED EVALUATI0NS:</w:t>
      </w:r>
    </w:p>
    <w:p w:rsidR="00E41DF7" w:rsidRDefault="00E41DF7" w:rsidP="00E41DF7">
      <w:pPr>
        <w:jc w:val="both"/>
        <w:rPr>
          <w:rFonts w:ascii="Arial" w:hAnsi="Arial" w:cs="Arial"/>
          <w:szCs w:val="22"/>
          <w:lang w:val="en-CA"/>
        </w:rPr>
      </w:pPr>
      <w:r w:rsidRPr="00E41DF7">
        <w:rPr>
          <w:rFonts w:ascii="Arial" w:hAnsi="Arial" w:cs="Arial"/>
          <w:szCs w:val="22"/>
          <w:lang w:val="en-CA"/>
        </w:rPr>
        <w:t xml:space="preserve">Students are expected to complete all evaluation activities.  Labs and assignments will have a clearly defined “window of opportunity” for submission.  The given “due date’ is the last day assignments may be submitted.  </w:t>
      </w:r>
    </w:p>
    <w:p w:rsidR="00E41DF7" w:rsidRPr="00E41DF7" w:rsidRDefault="00E41DF7" w:rsidP="00E41DF7">
      <w:pPr>
        <w:jc w:val="center"/>
        <w:rPr>
          <w:rFonts w:ascii="Arial" w:hAnsi="Arial" w:cs="Arial"/>
          <w:bCs/>
          <w:i/>
          <w:szCs w:val="22"/>
          <w:u w:val="single"/>
          <w:lang w:val="en-CA"/>
        </w:rPr>
      </w:pPr>
      <w:r w:rsidRPr="00E41DF7">
        <w:rPr>
          <w:rFonts w:ascii="Arial" w:hAnsi="Arial" w:cs="Arial"/>
          <w:bCs/>
          <w:i/>
          <w:szCs w:val="22"/>
          <w:u w:val="single"/>
          <w:lang w:val="en-CA"/>
        </w:rPr>
        <w:t>LATE ASSIGNMENTS WILL NOT BE ACCEPTED WITHOUT A LEGITIMATE REASON AND A NOTE OF EXPLANATION FROM PARENTS/GUARDIANS!</w:t>
      </w:r>
    </w:p>
    <w:p w:rsidR="00E41DF7" w:rsidRPr="00E41DF7" w:rsidRDefault="00E41DF7" w:rsidP="00E41DF7">
      <w:pPr>
        <w:jc w:val="both"/>
        <w:rPr>
          <w:rFonts w:ascii="Arial" w:hAnsi="Arial" w:cs="Arial"/>
          <w:b/>
          <w:szCs w:val="22"/>
          <w:lang w:val="en-CA"/>
        </w:rPr>
      </w:pPr>
      <w:r w:rsidRPr="00E41DF7">
        <w:rPr>
          <w:rFonts w:ascii="Arial" w:hAnsi="Arial" w:cs="Arial"/>
          <w:b/>
          <w:szCs w:val="22"/>
          <w:lang w:val="en-CA"/>
        </w:rPr>
        <w:t>Non-Legitimate Reasons:</w:t>
      </w:r>
    </w:p>
    <w:p w:rsidR="00E41DF7" w:rsidRPr="00E41DF7" w:rsidRDefault="00E41DF7" w:rsidP="00E41DF7">
      <w:pPr>
        <w:jc w:val="both"/>
        <w:rPr>
          <w:rFonts w:ascii="Arial" w:hAnsi="Arial" w:cs="Arial"/>
          <w:szCs w:val="22"/>
          <w:lang w:val="en-CA"/>
        </w:rPr>
      </w:pPr>
      <w:r w:rsidRPr="00E41DF7">
        <w:rPr>
          <w:rFonts w:ascii="Arial" w:hAnsi="Arial" w:cs="Arial"/>
          <w:szCs w:val="22"/>
          <w:lang w:val="en-CA"/>
        </w:rPr>
        <w:t>Non-legitimate reasons include skipping class on the date an evaluation is to be submitted, or failing to complete assignments because of poor time management skills.</w:t>
      </w:r>
    </w:p>
    <w:p w:rsidR="00E41DF7" w:rsidRPr="00E41DF7" w:rsidRDefault="00E41DF7" w:rsidP="00E41DF7">
      <w:pPr>
        <w:jc w:val="both"/>
        <w:rPr>
          <w:rFonts w:ascii="Arial" w:hAnsi="Arial" w:cs="Arial"/>
          <w:szCs w:val="22"/>
          <w:lang w:val="en-CA"/>
        </w:rPr>
      </w:pPr>
      <w:r w:rsidRPr="00E41DF7">
        <w:rPr>
          <w:rFonts w:ascii="Arial" w:hAnsi="Arial" w:cs="Arial"/>
          <w:szCs w:val="22"/>
          <w:lang w:val="en-CA"/>
        </w:rPr>
        <w:t>Failure to complete assessment and evaluation activities reduces the body of evidence upon which the teacher can evaluate the student achievement of curriculum expectations and could jeopardize the granting of a credit for the course.</w:t>
      </w:r>
    </w:p>
    <w:p w:rsidR="003E6BBF" w:rsidRPr="00E41DF7" w:rsidRDefault="003E6BBF" w:rsidP="003E6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3E6BBF" w:rsidRPr="00E41DF7" w:rsidRDefault="00E41DF7" w:rsidP="003E6BBF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3E6BBF" w:rsidRPr="00E41DF7">
        <w:rPr>
          <w:rFonts w:ascii="Arial" w:hAnsi="Arial" w:cs="Arial"/>
          <w:b/>
          <w:bCs/>
        </w:rPr>
        <w:t>CHEATING AND PLAGIARISM:</w:t>
      </w:r>
    </w:p>
    <w:p w:rsidR="00E41DF7" w:rsidRPr="00E41DF7" w:rsidRDefault="003E6BBF" w:rsidP="00E41DF7">
      <w:pPr>
        <w:jc w:val="both"/>
        <w:rPr>
          <w:rFonts w:ascii="Arial" w:hAnsi="Arial" w:cs="Arial"/>
          <w:szCs w:val="22"/>
          <w:lang w:val="en-CA"/>
        </w:rPr>
      </w:pPr>
      <w:r w:rsidRPr="00E41DF7">
        <w:rPr>
          <w:rFonts w:ascii="Arial" w:hAnsi="Arial" w:cs="Arial"/>
        </w:rPr>
        <w:t xml:space="preserve">Please see information regarding this topic in the Student Handbook. </w:t>
      </w:r>
      <w:r w:rsidR="00E41DF7" w:rsidRPr="00E41DF7">
        <w:rPr>
          <w:rFonts w:ascii="Arial" w:hAnsi="Arial" w:cs="Arial"/>
        </w:rPr>
        <w:t xml:space="preserve"> </w:t>
      </w:r>
      <w:r w:rsidR="00E41DF7" w:rsidRPr="00E41DF7">
        <w:rPr>
          <w:rFonts w:ascii="Arial" w:hAnsi="Arial" w:cs="Arial"/>
          <w:szCs w:val="22"/>
          <w:lang w:val="en-CA"/>
        </w:rPr>
        <w:t>Students have the responsibility to ensure that all work submitted is their own or appropriately attributed to its source.</w:t>
      </w:r>
    </w:p>
    <w:p w:rsidR="003E6BBF" w:rsidRPr="00E41DF7" w:rsidRDefault="003E6BBF" w:rsidP="003E6BBF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rPr>
          <w:rFonts w:ascii="Arial" w:hAnsi="Arial" w:cs="Arial"/>
        </w:rPr>
      </w:pPr>
    </w:p>
    <w:p w:rsidR="003E6BBF" w:rsidRPr="00BF74CB" w:rsidRDefault="003E6BBF" w:rsidP="003E6BBF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rPr>
          <w:rFonts w:ascii="Arial" w:hAnsi="Arial" w:cs="Arial"/>
          <w:b/>
          <w:bCs/>
        </w:rPr>
      </w:pPr>
      <w:r w:rsidRPr="00BF74CB">
        <w:rPr>
          <w:rFonts w:ascii="Arial" w:hAnsi="Arial" w:cs="Arial"/>
          <w:b/>
          <w:bCs/>
        </w:rPr>
        <w:t>TEXT BOOK:</w:t>
      </w:r>
    </w:p>
    <w:p w:rsidR="003E6BBF" w:rsidRPr="00BF74CB" w:rsidRDefault="00905604" w:rsidP="003E6BBF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rPr>
          <w:rFonts w:ascii="Arial" w:hAnsi="Arial" w:cs="Arial"/>
        </w:rPr>
      </w:pPr>
      <w:r w:rsidRPr="00905604">
        <w:rPr>
          <w:rFonts w:ascii="Arial" w:hAnsi="Arial" w:cs="Arial"/>
        </w:rPr>
        <w:t>Nelson Physics 11 University Preparation has an approximate</w:t>
      </w:r>
      <w:r w:rsidR="003E6BBF" w:rsidRPr="00905604">
        <w:rPr>
          <w:rFonts w:ascii="Arial" w:hAnsi="Arial" w:cs="Arial"/>
        </w:rPr>
        <w:t xml:space="preserve"> replacement value of</w:t>
      </w:r>
      <w:r w:rsidR="003E6BBF" w:rsidRPr="00905604">
        <w:rPr>
          <w:rFonts w:ascii="Arial" w:hAnsi="Arial" w:cs="Arial"/>
          <w:b/>
          <w:bCs/>
        </w:rPr>
        <w:t xml:space="preserve"> $</w:t>
      </w:r>
      <w:r w:rsidR="006C4A79" w:rsidRPr="00905604">
        <w:rPr>
          <w:rFonts w:ascii="Arial" w:hAnsi="Arial" w:cs="Arial"/>
          <w:b/>
          <w:bCs/>
        </w:rPr>
        <w:t>150</w:t>
      </w:r>
      <w:r w:rsidRPr="00905604">
        <w:rPr>
          <w:rFonts w:ascii="Arial" w:hAnsi="Arial" w:cs="Arial"/>
          <w:b/>
          <w:bCs/>
        </w:rPr>
        <w:t>.</w:t>
      </w:r>
    </w:p>
    <w:p w:rsidR="003E6BBF" w:rsidRPr="001C065F" w:rsidRDefault="003E6BBF" w:rsidP="003E6BBF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rPr>
          <w:rFonts w:ascii="Arial" w:hAnsi="Arial" w:cs="Arial"/>
        </w:rPr>
      </w:pPr>
    </w:p>
    <w:p w:rsidR="003E6BBF" w:rsidRPr="001C065F" w:rsidRDefault="003E6BBF" w:rsidP="003E6BBF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rPr>
          <w:rFonts w:ascii="Arial" w:hAnsi="Arial" w:cs="Arial"/>
        </w:rPr>
      </w:pPr>
      <w:r w:rsidRPr="001C065F">
        <w:rPr>
          <w:rFonts w:ascii="Arial" w:hAnsi="Arial" w:cs="Arial"/>
          <w:b/>
          <w:bCs/>
        </w:rPr>
        <w:t>GENERAL COURSE INFORMATION</w:t>
      </w:r>
      <w:r w:rsidRPr="001C065F">
        <w:rPr>
          <w:rFonts w:ascii="Arial" w:hAnsi="Arial" w:cs="Arial"/>
        </w:rPr>
        <w:t>:</w:t>
      </w:r>
    </w:p>
    <w:p w:rsidR="001C065F" w:rsidRPr="001C065F" w:rsidRDefault="001C065F" w:rsidP="001C065F">
      <w:pPr>
        <w:pStyle w:val="level10"/>
        <w:widowControl/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 w:rsidRPr="001C065F">
        <w:rPr>
          <w:rFonts w:ascii="Arial" w:hAnsi="Arial" w:cs="Arial"/>
          <w:sz w:val="20"/>
          <w:szCs w:val="20"/>
        </w:rPr>
        <w:t>Learning Skills: regular attendance, working independently, teamwork, organization, work habits, initiative, risk-taking, time-management, perseverance, questioning, curiosity and a love of learning are all essential to success in this course.</w:t>
      </w:r>
    </w:p>
    <w:p w:rsidR="001C065F" w:rsidRPr="001C065F" w:rsidRDefault="001C065F" w:rsidP="001C065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  <w:ind w:left="360"/>
        <w:rPr>
          <w:rFonts w:ascii="Arial" w:hAnsi="Arial" w:cs="Arial"/>
        </w:rPr>
      </w:pPr>
    </w:p>
    <w:p w:rsidR="001C065F" w:rsidRPr="001C065F" w:rsidRDefault="001C065F" w:rsidP="001C065F">
      <w:pPr>
        <w:pStyle w:val="level10"/>
        <w:widowControl/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 w:rsidRPr="001C065F">
        <w:rPr>
          <w:rFonts w:ascii="Arial" w:hAnsi="Arial" w:cs="Arial"/>
          <w:sz w:val="20"/>
          <w:szCs w:val="20"/>
        </w:rPr>
        <w:t>A scientific calculator and graph paper are required.</w:t>
      </w:r>
    </w:p>
    <w:p w:rsidR="001C065F" w:rsidRPr="001C065F" w:rsidRDefault="001C065F" w:rsidP="001C065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 w:cs="Arial"/>
        </w:rPr>
      </w:pPr>
    </w:p>
    <w:p w:rsidR="001C065F" w:rsidRPr="001C065F" w:rsidRDefault="001C065F" w:rsidP="001C065F">
      <w:pPr>
        <w:pStyle w:val="level10"/>
        <w:widowControl/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 w:rsidRPr="001C065F">
        <w:rPr>
          <w:rFonts w:ascii="Arial" w:hAnsi="Arial" w:cs="Arial"/>
          <w:sz w:val="20"/>
          <w:szCs w:val="20"/>
        </w:rPr>
        <w:t>Graphing calculator number: __________</w:t>
      </w:r>
      <w:r w:rsidRPr="001C065F">
        <w:rPr>
          <w:rFonts w:ascii="Arial" w:hAnsi="Arial" w:cs="Arial"/>
          <w:sz w:val="20"/>
          <w:szCs w:val="20"/>
        </w:rPr>
        <w:tab/>
      </w:r>
      <w:r w:rsidRPr="001C065F">
        <w:rPr>
          <w:rFonts w:ascii="Arial" w:hAnsi="Arial" w:cs="Arial"/>
          <w:sz w:val="20"/>
          <w:szCs w:val="20"/>
        </w:rPr>
        <w:tab/>
        <w:t>Textbook number: __________</w:t>
      </w:r>
    </w:p>
    <w:p w:rsidR="001C065F" w:rsidRPr="001C065F" w:rsidRDefault="001C065F" w:rsidP="001C065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ind w:left="360"/>
        <w:rPr>
          <w:rFonts w:ascii="Arial" w:hAnsi="Arial" w:cs="Arial"/>
        </w:rPr>
      </w:pPr>
    </w:p>
    <w:p w:rsidR="001C065F" w:rsidRPr="001C065F" w:rsidRDefault="001C065F" w:rsidP="001C065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ind w:left="360"/>
        <w:rPr>
          <w:rFonts w:ascii="Arial" w:hAnsi="Arial" w:cs="Arial"/>
        </w:rPr>
      </w:pPr>
    </w:p>
    <w:p w:rsidR="001C065F" w:rsidRPr="001C065F" w:rsidRDefault="001C065F" w:rsidP="001C065F">
      <w:pPr>
        <w:pStyle w:val="Heading1"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ind w:left="360"/>
        <w:jc w:val="left"/>
        <w:rPr>
          <w:rFonts w:cs="Arial"/>
          <w:sz w:val="20"/>
        </w:rPr>
      </w:pPr>
      <w:r w:rsidRPr="001C065F">
        <w:rPr>
          <w:rFonts w:cs="Arial"/>
          <w:sz w:val="20"/>
        </w:rPr>
        <w:t>APPROPRIATE USE OF GRAPHING CALCULATORS</w:t>
      </w:r>
      <w:r w:rsidRPr="001C065F">
        <w:rPr>
          <w:rFonts w:cs="Arial"/>
          <w:b w:val="0"/>
          <w:bCs/>
          <w:sz w:val="20"/>
        </w:rPr>
        <w:t>:</w:t>
      </w:r>
    </w:p>
    <w:p w:rsidR="001C065F" w:rsidRPr="001C065F" w:rsidRDefault="00FA31B8" w:rsidP="001C065F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ind w:left="360"/>
        <w:rPr>
          <w:rFonts w:ascii="Arial" w:hAnsi="Arial" w:cs="Arial"/>
        </w:rPr>
      </w:pPr>
      <w:r w:rsidRPr="001C065F">
        <w:rPr>
          <w:rFonts w:ascii="Arial" w:hAnsi="Arial" w:cs="Arial"/>
          <w:b/>
          <w:bCs/>
        </w:rPr>
        <w:fldChar w:fldCharType="begin"/>
      </w:r>
      <w:r w:rsidR="001C065F" w:rsidRPr="001C065F">
        <w:rPr>
          <w:rFonts w:ascii="Arial" w:hAnsi="Arial" w:cs="Arial"/>
          <w:b/>
          <w:bCs/>
        </w:rPr>
        <w:instrText>tc \l1 "APPROPRIATE USE OF GRAPHING CALCULATORS</w:instrText>
      </w:r>
      <w:r w:rsidR="001C065F" w:rsidRPr="001C065F">
        <w:rPr>
          <w:rFonts w:ascii="Arial" w:hAnsi="Arial" w:cs="Arial"/>
        </w:rPr>
        <w:instrText>:</w:instrText>
      </w:r>
      <w:r w:rsidRPr="001C065F">
        <w:rPr>
          <w:rFonts w:ascii="Arial" w:hAnsi="Arial" w:cs="Arial"/>
          <w:b/>
          <w:bCs/>
        </w:rPr>
        <w:fldChar w:fldCharType="end"/>
      </w:r>
    </w:p>
    <w:p w:rsidR="001C065F" w:rsidRPr="001C065F" w:rsidRDefault="001C065F" w:rsidP="001C065F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1C065F" w:rsidRPr="001C065F" w:rsidRDefault="001C065F" w:rsidP="001C065F">
      <w:pPr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/>
          <w:bCs/>
        </w:rPr>
      </w:pPr>
      <w:r w:rsidRPr="001C065F">
        <w:rPr>
          <w:rFonts w:ascii="Arial" w:hAnsi="Arial" w:cs="Arial"/>
        </w:rPr>
        <w:t xml:space="preserve">Students will be provided with graphing calculators to be used at school only.  In keeping with Board Policy on Telecommunications:  Any malicious attempt to harm or destroy the calculator is prohibited and may result in financial compensation and/or other disciplinary action consistent with the School Code of </w:t>
      </w:r>
      <w:proofErr w:type="spellStart"/>
      <w:r w:rsidRPr="001C065F">
        <w:rPr>
          <w:rFonts w:ascii="Arial" w:hAnsi="Arial" w:cs="Arial"/>
        </w:rPr>
        <w:t>Behaviour</w:t>
      </w:r>
      <w:proofErr w:type="spellEnd"/>
      <w:r w:rsidRPr="001C065F">
        <w:rPr>
          <w:rFonts w:ascii="Arial" w:hAnsi="Arial" w:cs="Arial"/>
        </w:rPr>
        <w:t xml:space="preserve">, Board Policy and/or the Education Act.  Likewise, </w:t>
      </w:r>
      <w:r w:rsidRPr="001C065F">
        <w:rPr>
          <w:rFonts w:ascii="Arial" w:hAnsi="Arial" w:cs="Arial"/>
          <w:b/>
          <w:bCs/>
        </w:rPr>
        <w:t xml:space="preserve">theft or loss, through negligence, of the calculator will result in a cost replacement by the student/parents of $150.00. </w:t>
      </w:r>
    </w:p>
    <w:p w:rsidR="00111A9D" w:rsidRPr="00E41DF7" w:rsidRDefault="00111A9D" w:rsidP="001C065F">
      <w:pPr>
        <w:pStyle w:val="Level1"/>
        <w:numPr>
          <w:ilvl w:val="0"/>
          <w:numId w:val="11"/>
        </w:numPr>
        <w:tabs>
          <w:tab w:val="left" w:pos="-90"/>
          <w:tab w:val="left" w:pos="27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jc w:val="both"/>
        <w:rPr>
          <w:rFonts w:ascii="Arial" w:hAnsi="Arial" w:cs="Arial"/>
          <w:sz w:val="20"/>
          <w:szCs w:val="20"/>
        </w:rPr>
      </w:pPr>
    </w:p>
    <w:sectPr w:rsidR="00111A9D" w:rsidRPr="00E41DF7" w:rsidSect="002A1A0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18A0D0"/>
    <w:lvl w:ilvl="0">
      <w:numFmt w:val="bullet"/>
      <w:lvlText w:val="*"/>
      <w:lvlJc w:val="left"/>
    </w:lvl>
  </w:abstractNum>
  <w:abstractNum w:abstractNumId="1">
    <w:nsid w:val="273140A8"/>
    <w:multiLevelType w:val="singleLevel"/>
    <w:tmpl w:val="2372331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C3C3D04"/>
    <w:multiLevelType w:val="hybridMultilevel"/>
    <w:tmpl w:val="9512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5270"/>
    <w:multiLevelType w:val="singleLevel"/>
    <w:tmpl w:val="2372331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0400953"/>
    <w:multiLevelType w:val="hybridMultilevel"/>
    <w:tmpl w:val="897E3846"/>
    <w:lvl w:ilvl="0" w:tplc="E19EF59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55666"/>
    <w:multiLevelType w:val="singleLevel"/>
    <w:tmpl w:val="2372331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5F72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C27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C55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27D7F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6650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AF543E"/>
    <w:multiLevelType w:val="singleLevel"/>
    <w:tmpl w:val="2372331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270" w:hanging="360"/>
        </w:pPr>
        <w:rPr>
          <w:rFonts w:ascii="Shruti" w:hAnsi="Shruti" w:cs="Shruti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C6A9D"/>
    <w:rsid w:val="00001971"/>
    <w:rsid w:val="0007383B"/>
    <w:rsid w:val="000B0AF7"/>
    <w:rsid w:val="00111A9D"/>
    <w:rsid w:val="00111FB6"/>
    <w:rsid w:val="001C065F"/>
    <w:rsid w:val="0022194F"/>
    <w:rsid w:val="002A1A0D"/>
    <w:rsid w:val="002D1691"/>
    <w:rsid w:val="003E6BBF"/>
    <w:rsid w:val="00424F4F"/>
    <w:rsid w:val="006C4A79"/>
    <w:rsid w:val="0072456E"/>
    <w:rsid w:val="00724844"/>
    <w:rsid w:val="007342F8"/>
    <w:rsid w:val="00782C9F"/>
    <w:rsid w:val="008514D6"/>
    <w:rsid w:val="00905604"/>
    <w:rsid w:val="0091725A"/>
    <w:rsid w:val="00977B90"/>
    <w:rsid w:val="009C6A9D"/>
    <w:rsid w:val="009E642B"/>
    <w:rsid w:val="00A71412"/>
    <w:rsid w:val="00B9696E"/>
    <w:rsid w:val="00C13AAB"/>
    <w:rsid w:val="00C8319E"/>
    <w:rsid w:val="00E41DF7"/>
    <w:rsid w:val="00F20386"/>
    <w:rsid w:val="00F74027"/>
    <w:rsid w:val="00F74CD4"/>
    <w:rsid w:val="00FA31B8"/>
    <w:rsid w:val="00FA4A09"/>
    <w:rsid w:val="00FF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D6"/>
  </w:style>
  <w:style w:type="paragraph" w:styleId="Heading1">
    <w:name w:val="heading 1"/>
    <w:basedOn w:val="Normal"/>
    <w:next w:val="Normal"/>
    <w:qFormat/>
    <w:rsid w:val="008514D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514D6"/>
    <w:pPr>
      <w:keepNext/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rsid w:val="008514D6"/>
    <w:pPr>
      <w:keepNext/>
      <w:jc w:val="center"/>
      <w:outlineLvl w:val="2"/>
    </w:pPr>
    <w:rPr>
      <w:rFonts w:ascii="Arial" w:hAnsi="Arial"/>
      <w:b/>
      <w:snapToGrid w:val="0"/>
      <w:sz w:val="26"/>
    </w:rPr>
  </w:style>
  <w:style w:type="paragraph" w:styleId="Heading4">
    <w:name w:val="heading 4"/>
    <w:basedOn w:val="Normal"/>
    <w:next w:val="Normal"/>
    <w:qFormat/>
    <w:rsid w:val="008514D6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14D6"/>
    <w:pPr>
      <w:jc w:val="center"/>
    </w:pPr>
    <w:rPr>
      <w:sz w:val="32"/>
    </w:rPr>
  </w:style>
  <w:style w:type="paragraph" w:styleId="Subtitle">
    <w:name w:val="Subtitle"/>
    <w:basedOn w:val="Normal"/>
    <w:qFormat/>
    <w:rsid w:val="008514D6"/>
    <w:pPr>
      <w:jc w:val="center"/>
    </w:pPr>
    <w:rPr>
      <w:sz w:val="24"/>
    </w:rPr>
  </w:style>
  <w:style w:type="paragraph" w:styleId="BodyTextIndent">
    <w:name w:val="Body Text Indent"/>
    <w:basedOn w:val="Normal"/>
    <w:semiHidden/>
    <w:rsid w:val="008514D6"/>
    <w:pPr>
      <w:ind w:left="180" w:hanging="180"/>
    </w:pPr>
    <w:rPr>
      <w:snapToGrid w:val="0"/>
    </w:rPr>
  </w:style>
  <w:style w:type="paragraph" w:styleId="BodyText">
    <w:name w:val="Body Text"/>
    <w:semiHidden/>
    <w:rsid w:val="008514D6"/>
    <w:rPr>
      <w:sz w:val="22"/>
    </w:rPr>
  </w:style>
  <w:style w:type="paragraph" w:customStyle="1" w:styleId="bodyhanging">
    <w:name w:val="body hanging"/>
    <w:rsid w:val="008514D6"/>
    <w:pPr>
      <w:ind w:left="360" w:hanging="360"/>
    </w:pPr>
    <w:rPr>
      <w:sz w:val="22"/>
    </w:rPr>
  </w:style>
  <w:style w:type="paragraph" w:styleId="BodyTextIndent2">
    <w:name w:val="Body Text Indent 2"/>
    <w:basedOn w:val="Normal"/>
    <w:semiHidden/>
    <w:rsid w:val="008514D6"/>
    <w:pPr>
      <w:ind w:left="720"/>
    </w:pPr>
  </w:style>
  <w:style w:type="paragraph" w:styleId="Footer">
    <w:name w:val="footer"/>
    <w:basedOn w:val="Normal"/>
    <w:semiHidden/>
    <w:rsid w:val="008514D6"/>
    <w:pPr>
      <w:tabs>
        <w:tab w:val="center" w:pos="4320"/>
        <w:tab w:val="right" w:pos="8640"/>
      </w:tabs>
    </w:pPr>
    <w:rPr>
      <w:lang w:val="en-CA"/>
    </w:rPr>
  </w:style>
  <w:style w:type="paragraph" w:customStyle="1" w:styleId="Heading2nospace">
    <w:name w:val="Heading 2/ no space"/>
    <w:basedOn w:val="Heading2"/>
    <w:rsid w:val="008514D6"/>
    <w:rPr>
      <w:snapToGrid/>
      <w:sz w:val="22"/>
    </w:rPr>
  </w:style>
  <w:style w:type="paragraph" w:customStyle="1" w:styleId="code">
    <w:name w:val="code"/>
    <w:rsid w:val="008514D6"/>
    <w:pPr>
      <w:keepNext/>
      <w:ind w:left="360"/>
    </w:pPr>
    <w:rPr>
      <w:b/>
      <w:sz w:val="22"/>
    </w:rPr>
  </w:style>
  <w:style w:type="paragraph" w:customStyle="1" w:styleId="coexp">
    <w:name w:val="coexp"/>
    <w:rsid w:val="008514D6"/>
    <w:pPr>
      <w:keepLines/>
      <w:suppressAutoHyphens/>
      <w:ind w:left="360"/>
    </w:pPr>
    <w:rPr>
      <w:sz w:val="22"/>
    </w:rPr>
  </w:style>
  <w:style w:type="paragraph" w:customStyle="1" w:styleId="Level1">
    <w:name w:val="Level 1"/>
    <w:basedOn w:val="Normal"/>
    <w:uiPriority w:val="99"/>
    <w:rsid w:val="003E6BBF"/>
    <w:pPr>
      <w:widowControl w:val="0"/>
      <w:autoSpaceDE w:val="0"/>
      <w:autoSpaceDN w:val="0"/>
      <w:adjustRightInd w:val="0"/>
      <w:ind w:left="360" w:hanging="360"/>
    </w:pPr>
    <w:rPr>
      <w:rFonts w:eastAsiaTheme="minorEastAsia"/>
      <w:sz w:val="24"/>
      <w:szCs w:val="24"/>
    </w:rPr>
  </w:style>
  <w:style w:type="character" w:customStyle="1" w:styleId="Hypertext">
    <w:name w:val="Hypertext"/>
    <w:uiPriority w:val="99"/>
    <w:rsid w:val="003E6B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96E"/>
    <w:pPr>
      <w:ind w:left="720"/>
      <w:contextualSpacing/>
    </w:pPr>
  </w:style>
  <w:style w:type="paragraph" w:customStyle="1" w:styleId="Default">
    <w:name w:val="Default"/>
    <w:rsid w:val="001C06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0">
    <w:name w:val="_level1"/>
    <w:basedOn w:val="Normal"/>
    <w:uiPriority w:val="99"/>
    <w:rsid w:val="001C065F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ind w:left="360" w:hanging="36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E92E-BBD0-44DC-9000-61D86BF0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657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Lourdes Catholic High School</vt:lpstr>
    </vt:vector>
  </TitlesOfParts>
  <Company>WCDSB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Lourdes Catholic High School</dc:title>
  <dc:subject/>
  <dc:creator>Maschio</dc:creator>
  <cp:keywords/>
  <cp:lastModifiedBy>Millie</cp:lastModifiedBy>
  <cp:revision>17</cp:revision>
  <cp:lastPrinted>2012-02-03T17:11:00Z</cp:lastPrinted>
  <dcterms:created xsi:type="dcterms:W3CDTF">2012-08-15T15:41:00Z</dcterms:created>
  <dcterms:modified xsi:type="dcterms:W3CDTF">2013-02-02T15:44:00Z</dcterms:modified>
</cp:coreProperties>
</file>